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2606"/>
        <w:gridCol w:w="1083"/>
        <w:gridCol w:w="1266"/>
        <w:gridCol w:w="2421"/>
      </w:tblGrid>
      <w:tr w:rsidR="002C2192" w:rsidRPr="006629FD" w14:paraId="270BAD77" w14:textId="77777777" w:rsidTr="009372DC">
        <w:trPr>
          <w:cantSplit/>
          <w:trHeight w:val="284"/>
        </w:trPr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735FBB44" w14:textId="77777777" w:rsidR="002C2192" w:rsidRPr="006629FD" w:rsidRDefault="002C2192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Scheda</w:t>
            </w:r>
          </w:p>
          <w:p w14:paraId="3AA00B60" w14:textId="77777777" w:rsidR="002C2192" w:rsidRPr="006629FD" w:rsidRDefault="002C2192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E13C77" w14:textId="77777777" w:rsidR="002C2192" w:rsidRPr="006629FD" w:rsidRDefault="002C2192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63D96BDB" w14:textId="15A1F0BA" w:rsidR="002C2192" w:rsidRPr="006629FD" w:rsidRDefault="002C2192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2C2192" w:rsidRPr="006629FD" w14:paraId="53390EA9" w14:textId="77777777" w:rsidTr="009372DC">
        <w:trPr>
          <w:cantSplit/>
          <w:trHeight w:val="284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060A8035" w14:textId="77777777" w:rsidR="002C2192" w:rsidRPr="006629FD" w:rsidRDefault="002C2192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E519CA" w14:textId="77777777" w:rsidR="002C2192" w:rsidRPr="006629FD" w:rsidRDefault="002C2192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7F1B3E7C" w14:textId="009CD602" w:rsidR="002C2192" w:rsidRPr="006629FD" w:rsidRDefault="002C2192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2C2192" w:rsidRPr="006629FD" w14:paraId="3DA94829" w14:textId="77777777" w:rsidTr="009372DC">
        <w:trPr>
          <w:cantSplit/>
          <w:trHeight w:val="284"/>
        </w:trPr>
        <w:tc>
          <w:tcPr>
            <w:tcW w:w="2127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4EF44DB9" w14:textId="77777777" w:rsidR="002C2192" w:rsidRPr="002C2192" w:rsidRDefault="002C2192" w:rsidP="002C2192">
            <w:pPr>
              <w:widowControl w:val="0"/>
              <w:suppressAutoHyphens/>
              <w:snapToGrid w:val="0"/>
              <w:spacing w:after="0" w:line="240" w:lineRule="auto"/>
              <w:ind w:left="1080" w:firstLine="0"/>
              <w:jc w:val="center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56945E" w14:textId="77777777" w:rsidR="002C2192" w:rsidRPr="006629FD" w:rsidRDefault="002C2192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868BAD" w14:textId="76D42E6C" w:rsidR="002C2192" w:rsidRPr="002C2192" w:rsidRDefault="002C2192" w:rsidP="002C2192">
            <w:pPr>
              <w:spacing w:after="0" w:line="240" w:lineRule="auto"/>
              <w:ind w:firstLine="0"/>
              <w:rPr>
                <w:rFonts w:cs="Arial"/>
                <w:b/>
                <w:bCs/>
                <w:sz w:val="18"/>
                <w:szCs w:val="18"/>
              </w:rPr>
            </w:pPr>
            <w:r w:rsidRPr="002C2192">
              <w:rPr>
                <w:rFonts w:cs="Arial"/>
                <w:b/>
                <w:bCs/>
                <w:sz w:val="18"/>
                <w:szCs w:val="18"/>
              </w:rPr>
              <w:t>Divieto di sistemazioni e livellamenti dell'arenile con mezzi meccanici</w:t>
            </w:r>
          </w:p>
        </w:tc>
      </w:tr>
      <w:tr w:rsidR="002C2192" w:rsidRPr="006629FD" w14:paraId="24BC2155" w14:textId="77777777" w:rsidTr="009372DC">
        <w:trPr>
          <w:cantSplit/>
          <w:trHeight w:val="284"/>
        </w:trPr>
        <w:tc>
          <w:tcPr>
            <w:tcW w:w="2127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22421E58" w14:textId="77777777" w:rsidR="002C2192" w:rsidRPr="006629FD" w:rsidRDefault="002C2192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92DA74" w14:textId="77777777" w:rsidR="002C2192" w:rsidRPr="006629FD" w:rsidRDefault="002C2192" w:rsidP="009372DC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X</w:t>
            </w:r>
            <w:r w:rsidRPr="006629FD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65D36EBA" w14:textId="77777777" w:rsidR="002C2192" w:rsidRPr="006629FD" w:rsidRDefault="002C2192" w:rsidP="009372DC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</w:t>
            </w:r>
            <w:r w:rsidRPr="006629FD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4BC68F" w14:textId="77777777" w:rsidR="002C2192" w:rsidRPr="006629FD" w:rsidRDefault="002C2192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X</w:t>
            </w:r>
            <w:r w:rsidRPr="006629FD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250D58DB" w14:textId="77777777" w:rsidR="002C2192" w:rsidRPr="006629FD" w:rsidRDefault="002C2192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</w:t>
            </w:r>
            <w:r w:rsidRPr="006629FD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169B9C" w14:textId="71480C01" w:rsidR="002C2192" w:rsidRPr="006629FD" w:rsidRDefault="00CD55FE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</w:t>
            </w:r>
            <w:r w:rsidR="002C2192" w:rsidRPr="006629FD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5A5C5F2D" w14:textId="062A7F33" w:rsidR="002C2192" w:rsidRPr="006629FD" w:rsidRDefault="00CD55FE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X</w:t>
            </w:r>
            <w:r w:rsidR="002C2192" w:rsidRPr="006629FD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2C2192" w:rsidRPr="006629FD" w14:paraId="3CC79C0A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578781" w14:textId="77777777" w:rsidR="002C2192" w:rsidRPr="006629FD" w:rsidRDefault="002C2192" w:rsidP="009372DC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F64099" w14:textId="77777777" w:rsidR="002C2192" w:rsidRPr="006629FD" w:rsidRDefault="002C2192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</w:t>
            </w:r>
            <w:r w:rsidRPr="006629F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6629FD">
              <w:rPr>
                <w:rFonts w:cs="Arial"/>
                <w:sz w:val="18"/>
                <w:szCs w:val="18"/>
              </w:rPr>
              <w:t>intervento attivo (</w:t>
            </w:r>
            <w:r w:rsidRPr="006629FD">
              <w:rPr>
                <w:rFonts w:cs="Arial"/>
                <w:b/>
                <w:sz w:val="18"/>
                <w:szCs w:val="18"/>
              </w:rPr>
              <w:t>IA)</w:t>
            </w:r>
          </w:p>
          <w:p w14:paraId="3A18F42A" w14:textId="77777777" w:rsidR="002C2192" w:rsidRPr="006629FD" w:rsidRDefault="002C2192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X</w:t>
            </w:r>
            <w:r w:rsidRPr="006629F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6629FD">
              <w:rPr>
                <w:rFonts w:cs="Arial"/>
                <w:sz w:val="18"/>
                <w:szCs w:val="18"/>
              </w:rPr>
              <w:t>regolamentazione (</w:t>
            </w:r>
            <w:r w:rsidRPr="006629FD">
              <w:rPr>
                <w:rFonts w:cs="Arial"/>
                <w:b/>
                <w:sz w:val="18"/>
                <w:szCs w:val="18"/>
              </w:rPr>
              <w:t>RE)</w:t>
            </w:r>
          </w:p>
          <w:p w14:paraId="6A5BCD24" w14:textId="77777777" w:rsidR="002C2192" w:rsidRPr="006629FD" w:rsidRDefault="002C2192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</w:t>
            </w:r>
            <w:r w:rsidRPr="006629F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6629FD">
              <w:rPr>
                <w:rFonts w:cs="Arial"/>
                <w:sz w:val="18"/>
                <w:szCs w:val="18"/>
              </w:rPr>
              <w:t>incentivazione (</w:t>
            </w:r>
            <w:r w:rsidRPr="006629FD">
              <w:rPr>
                <w:rFonts w:cs="Arial"/>
                <w:b/>
                <w:sz w:val="18"/>
                <w:szCs w:val="18"/>
              </w:rPr>
              <w:t>IN)</w:t>
            </w:r>
          </w:p>
          <w:p w14:paraId="5ED9CEC5" w14:textId="77777777" w:rsidR="002C2192" w:rsidRPr="006629FD" w:rsidRDefault="002C2192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</w:t>
            </w:r>
            <w:r w:rsidRPr="006629F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6629FD">
              <w:rPr>
                <w:rFonts w:cs="Arial"/>
                <w:sz w:val="18"/>
                <w:szCs w:val="18"/>
              </w:rPr>
              <w:t>programma di monitoraggio e/o ricerca (</w:t>
            </w:r>
            <w:r w:rsidRPr="006629FD">
              <w:rPr>
                <w:rFonts w:cs="Arial"/>
                <w:b/>
                <w:sz w:val="18"/>
                <w:szCs w:val="18"/>
              </w:rPr>
              <w:t>MR)</w:t>
            </w:r>
          </w:p>
          <w:p w14:paraId="64DE3C99" w14:textId="77777777" w:rsidR="002C2192" w:rsidRPr="006629FD" w:rsidRDefault="002C2192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</w:t>
            </w:r>
            <w:r w:rsidRPr="006629F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6629FD">
              <w:rPr>
                <w:rFonts w:cs="Arial"/>
                <w:sz w:val="18"/>
                <w:szCs w:val="18"/>
              </w:rPr>
              <w:t>programma di educazione e di informazione (</w:t>
            </w:r>
            <w:r w:rsidRPr="006629FD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2C2192" w:rsidRPr="006629FD" w14:paraId="4954DD4E" w14:textId="77777777" w:rsidTr="009372DC">
        <w:trPr>
          <w:cantSplit/>
          <w:trHeight w:val="284"/>
        </w:trPr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0B9F908" w14:textId="77777777" w:rsidR="002C2192" w:rsidRPr="006629FD" w:rsidRDefault="002C2192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939A1A" w14:textId="77777777" w:rsidR="002C2192" w:rsidRPr="006629FD" w:rsidRDefault="002C2192" w:rsidP="009372DC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6629FD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3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8B8406" w14:textId="77777777" w:rsidR="002C2192" w:rsidRPr="006629FD" w:rsidRDefault="002C2192" w:rsidP="009372DC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6629FD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2C2192" w:rsidRPr="00A34EDC" w14:paraId="58D17680" w14:textId="77777777" w:rsidTr="009372DC">
        <w:trPr>
          <w:cantSplit/>
          <w:trHeight w:val="284"/>
        </w:trPr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BACE61" w14:textId="77777777" w:rsidR="002C2192" w:rsidRPr="006629FD" w:rsidRDefault="002C2192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8C3F4C" w14:textId="566B94CE" w:rsidR="002C2192" w:rsidRPr="006629FD" w:rsidRDefault="009D13C9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1160, 1170, 1210, 1240</w:t>
            </w:r>
          </w:p>
        </w:tc>
        <w:tc>
          <w:tcPr>
            <w:tcW w:w="3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651B35" w14:textId="29B3C47F" w:rsidR="002C2192" w:rsidRPr="00CD55FE" w:rsidRDefault="009D13C9" w:rsidP="009372DC">
            <w:pPr>
              <w:spacing w:after="0" w:line="240" w:lineRule="auto"/>
              <w:ind w:firstLine="0"/>
              <w:rPr>
                <w:rFonts w:eastAsia="Wingdings" w:cs="Arial"/>
                <w:i/>
                <w:iCs/>
                <w:sz w:val="18"/>
                <w:szCs w:val="18"/>
                <w:lang w:val="en-US"/>
              </w:rPr>
            </w:pPr>
            <w:r w:rsidRPr="00CD55FE">
              <w:rPr>
                <w:rFonts w:eastAsia="Wingdings" w:cs="Arial"/>
                <w:i/>
                <w:iCs/>
                <w:sz w:val="18"/>
                <w:szCs w:val="18"/>
                <w:lang w:val="en-US"/>
              </w:rPr>
              <w:t xml:space="preserve">Charadrius </w:t>
            </w:r>
            <w:proofErr w:type="spellStart"/>
            <w:r w:rsidRPr="00CD55FE">
              <w:rPr>
                <w:rFonts w:eastAsia="Wingdings" w:cs="Arial"/>
                <w:i/>
                <w:iCs/>
                <w:sz w:val="18"/>
                <w:szCs w:val="18"/>
                <w:lang w:val="en-US"/>
              </w:rPr>
              <w:t>alexandrinus</w:t>
            </w:r>
            <w:proofErr w:type="spellEnd"/>
            <w:r w:rsidRPr="00CD55FE">
              <w:rPr>
                <w:rFonts w:eastAsia="Wingdings" w:cs="Arial"/>
                <w:i/>
                <w:iCs/>
                <w:sz w:val="18"/>
                <w:szCs w:val="18"/>
                <w:lang w:val="en-US"/>
              </w:rPr>
              <w:t xml:space="preserve">, Larus </w:t>
            </w:r>
            <w:proofErr w:type="spellStart"/>
            <w:r w:rsidRPr="00CD55FE">
              <w:rPr>
                <w:rFonts w:eastAsia="Wingdings" w:cs="Arial"/>
                <w:i/>
                <w:iCs/>
                <w:sz w:val="18"/>
                <w:szCs w:val="18"/>
                <w:lang w:val="en-US"/>
              </w:rPr>
              <w:t>melanocephalus</w:t>
            </w:r>
            <w:proofErr w:type="spellEnd"/>
            <w:r w:rsidRPr="00CD55FE">
              <w:rPr>
                <w:rFonts w:eastAsia="Wingdings" w:cs="Arial"/>
                <w:i/>
                <w:iCs/>
                <w:sz w:val="18"/>
                <w:szCs w:val="18"/>
                <w:lang w:val="en-US"/>
              </w:rPr>
              <w:t xml:space="preserve">, Phalacrocorax carbo sinensis, Podiceps </w:t>
            </w:r>
            <w:proofErr w:type="spellStart"/>
            <w:r w:rsidRPr="00CD55FE">
              <w:rPr>
                <w:rFonts w:eastAsia="Wingdings" w:cs="Arial"/>
                <w:i/>
                <w:iCs/>
                <w:sz w:val="18"/>
                <w:szCs w:val="18"/>
                <w:lang w:val="en-US"/>
              </w:rPr>
              <w:t>nigricollis</w:t>
            </w:r>
            <w:proofErr w:type="spellEnd"/>
          </w:p>
        </w:tc>
      </w:tr>
      <w:tr w:rsidR="002C2192" w:rsidRPr="006629FD" w14:paraId="55D72DE7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76BBF9D1" w14:textId="77777777" w:rsidR="002C2192" w:rsidRPr="006629FD" w:rsidRDefault="002C2192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6BC7A8" w14:textId="56A70D6D" w:rsidR="002C2192" w:rsidRPr="006629FD" w:rsidRDefault="009D13C9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PF04</w:t>
            </w:r>
          </w:p>
        </w:tc>
      </w:tr>
      <w:tr w:rsidR="002C2192" w:rsidRPr="006629FD" w14:paraId="7B0EABA0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3B08E7C3" w14:textId="77777777" w:rsidR="002C2192" w:rsidRPr="006629FD" w:rsidRDefault="002C2192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AFEC72" w14:textId="1091CF86" w:rsidR="002C2192" w:rsidRPr="006629FD" w:rsidRDefault="002C2192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sz w:val="18"/>
                <w:szCs w:val="18"/>
              </w:rPr>
              <w:t>Tutto il sito</w:t>
            </w:r>
            <w:r w:rsidR="004B0BFF">
              <w:rPr>
                <w:rFonts w:cs="Arial"/>
                <w:sz w:val="18"/>
                <w:szCs w:val="18"/>
              </w:rPr>
              <w:t xml:space="preserve"> e aree contermini funzionalmente connesse.</w:t>
            </w:r>
          </w:p>
        </w:tc>
      </w:tr>
      <w:tr w:rsidR="002C2192" w:rsidRPr="006629FD" w14:paraId="7654CCD3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CDB0DA3" w14:textId="77777777" w:rsidR="002C2192" w:rsidRPr="006629FD" w:rsidRDefault="002C2192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AA7116F" w14:textId="1C4DDC7D" w:rsidR="009D13C9" w:rsidRPr="006629FD" w:rsidRDefault="009D13C9" w:rsidP="009D13C9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Tutte le attività connesse con la gestione degli stabilimenti balneari</w:t>
            </w:r>
            <w:r w:rsidR="00715315">
              <w:rPr>
                <w:rFonts w:cs="Arial"/>
                <w:sz w:val="18"/>
                <w:szCs w:val="18"/>
              </w:rPr>
              <w:t xml:space="preserve">, in particolare i livellamenti dell’arenile con mezzi meccanici, </w:t>
            </w:r>
            <w:r>
              <w:rPr>
                <w:rFonts w:cs="Arial"/>
                <w:sz w:val="18"/>
                <w:szCs w:val="18"/>
              </w:rPr>
              <w:t>incidono negativamente sulla conservazione degli habitat, rendendoli sub-ottimali per il Fratino e generando pressioni per le specie che in questi ambienti svernano.</w:t>
            </w:r>
          </w:p>
        </w:tc>
      </w:tr>
      <w:tr w:rsidR="002C2192" w:rsidRPr="006629FD" w14:paraId="3FC9C3B3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E42C472" w14:textId="77777777" w:rsidR="002C2192" w:rsidRPr="006629FD" w:rsidRDefault="002C2192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7724C0" w14:textId="41F369CD" w:rsidR="002C2192" w:rsidRPr="006629FD" w:rsidRDefault="002C2192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Grado di conservazione de</w:t>
            </w:r>
            <w:r w:rsidR="009D13C9">
              <w:rPr>
                <w:rFonts w:cs="Arial"/>
                <w:sz w:val="18"/>
                <w:szCs w:val="18"/>
              </w:rPr>
              <w:t xml:space="preserve">gli </w:t>
            </w:r>
            <w:r>
              <w:rPr>
                <w:rFonts w:cs="Arial"/>
                <w:sz w:val="18"/>
                <w:szCs w:val="18"/>
              </w:rPr>
              <w:t>habitat</w:t>
            </w:r>
            <w:r w:rsidR="009D13C9">
              <w:rPr>
                <w:rFonts w:cs="Arial"/>
                <w:sz w:val="18"/>
                <w:szCs w:val="18"/>
              </w:rPr>
              <w:t xml:space="preserve"> e delle specie</w:t>
            </w:r>
            <w:r>
              <w:rPr>
                <w:rFonts w:cs="Arial"/>
                <w:sz w:val="18"/>
                <w:szCs w:val="18"/>
              </w:rPr>
              <w:t xml:space="preserve"> target</w:t>
            </w:r>
          </w:p>
        </w:tc>
      </w:tr>
      <w:tr w:rsidR="002C2192" w:rsidRPr="006629FD" w14:paraId="07F81126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657DB9" w14:textId="77777777" w:rsidR="002C2192" w:rsidRPr="006629FD" w:rsidRDefault="002C2192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94F7EC" w14:textId="1146055B" w:rsidR="002C2192" w:rsidRPr="006629FD" w:rsidRDefault="00715315" w:rsidP="001E07B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Compatibilità ambientale della gestione degli stabilimenti balneari</w:t>
            </w:r>
            <w:r w:rsidR="002958DA">
              <w:rPr>
                <w:rFonts w:cs="Arial"/>
                <w:sz w:val="18"/>
                <w:szCs w:val="18"/>
              </w:rPr>
              <w:t xml:space="preserve"> finalizzata al mantenimento in uno stato di conservazione favorevole degli habitat e degli habitat biologici delle specie target.</w:t>
            </w:r>
          </w:p>
        </w:tc>
      </w:tr>
      <w:tr w:rsidR="002C2192" w:rsidRPr="006629FD" w14:paraId="4850A333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B68E4F" w14:textId="77777777" w:rsidR="002C2192" w:rsidRPr="002958DA" w:rsidRDefault="002C2192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2958DA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7DBCF6" w14:textId="1D897A2A" w:rsidR="002958DA" w:rsidRPr="002958DA" w:rsidRDefault="00715315" w:rsidP="001E07B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2958DA">
              <w:rPr>
                <w:rFonts w:cs="Arial"/>
                <w:sz w:val="18"/>
                <w:szCs w:val="18"/>
              </w:rPr>
              <w:t xml:space="preserve">È </w:t>
            </w:r>
            <w:r w:rsidR="00247DBC" w:rsidRPr="002958DA">
              <w:rPr>
                <w:rFonts w:cs="Arial"/>
                <w:sz w:val="18"/>
                <w:szCs w:val="18"/>
              </w:rPr>
              <w:t>vietata la realizzazione di qualsiasi attività finalizzata al livellamento dell’arenile</w:t>
            </w:r>
            <w:r w:rsidR="002958DA">
              <w:rPr>
                <w:rFonts w:cs="Arial"/>
                <w:sz w:val="18"/>
                <w:szCs w:val="18"/>
              </w:rPr>
              <w:t xml:space="preserve">, compresa la creazione di cumuli a protezione di strutture antropiche, </w:t>
            </w:r>
            <w:r w:rsidR="00247DBC" w:rsidRPr="002958DA">
              <w:rPr>
                <w:rFonts w:cs="Arial"/>
                <w:sz w:val="18"/>
                <w:szCs w:val="18"/>
              </w:rPr>
              <w:t>mediante l’utilizzo di mezzi meccanici</w:t>
            </w:r>
            <w:r w:rsidR="002958DA">
              <w:rPr>
                <w:rFonts w:cs="Arial"/>
                <w:sz w:val="18"/>
                <w:szCs w:val="18"/>
              </w:rPr>
              <w:t>.</w:t>
            </w:r>
          </w:p>
          <w:p w14:paraId="407E4CAF" w14:textId="56CA2F19" w:rsidR="009D13C9" w:rsidRPr="002958DA" w:rsidRDefault="002958DA" w:rsidP="001E07B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Sono fatti salvi </w:t>
            </w:r>
            <w:r w:rsidR="009D13C9" w:rsidRPr="002958DA">
              <w:rPr>
                <w:rFonts w:cs="Arial"/>
                <w:sz w:val="18"/>
                <w:szCs w:val="18"/>
              </w:rPr>
              <w:t xml:space="preserve"> </w:t>
            </w:r>
            <w:r w:rsidR="004B0BFF">
              <w:rPr>
                <w:rFonts w:cs="Arial"/>
                <w:sz w:val="18"/>
                <w:szCs w:val="18"/>
              </w:rPr>
              <w:t>gli interventi di spianamento delle berme di tempesta effettuati in conformità alle</w:t>
            </w:r>
            <w:r w:rsidR="007B7BEB">
              <w:rPr>
                <w:rFonts w:cs="Arial"/>
                <w:sz w:val="18"/>
                <w:szCs w:val="18"/>
              </w:rPr>
              <w:t xml:space="preserve"> apposite</w:t>
            </w:r>
            <w:r w:rsidR="004B0BFF">
              <w:rPr>
                <w:rFonts w:cs="Arial"/>
                <w:sz w:val="18"/>
                <w:szCs w:val="18"/>
              </w:rPr>
              <w:t xml:space="preserve"> </w:t>
            </w:r>
            <w:r w:rsidR="001E07BC" w:rsidRPr="001E07BC">
              <w:rPr>
                <w:rFonts w:cs="Arial"/>
                <w:i/>
                <w:iCs/>
                <w:sz w:val="18"/>
                <w:szCs w:val="18"/>
              </w:rPr>
              <w:t>L</w:t>
            </w:r>
            <w:r w:rsidR="009D13C9" w:rsidRPr="001E07BC">
              <w:rPr>
                <w:rFonts w:cs="Arial"/>
                <w:i/>
                <w:iCs/>
                <w:sz w:val="18"/>
                <w:szCs w:val="18"/>
              </w:rPr>
              <w:t xml:space="preserve">inee </w:t>
            </w:r>
            <w:r w:rsidR="001E07BC" w:rsidRPr="001E07BC">
              <w:rPr>
                <w:rFonts w:cs="Arial"/>
                <w:i/>
                <w:iCs/>
                <w:sz w:val="18"/>
                <w:szCs w:val="18"/>
              </w:rPr>
              <w:t>G</w:t>
            </w:r>
            <w:r w:rsidR="009D13C9" w:rsidRPr="001E07BC">
              <w:rPr>
                <w:rFonts w:cs="Arial"/>
                <w:i/>
                <w:iCs/>
                <w:sz w:val="18"/>
                <w:szCs w:val="18"/>
              </w:rPr>
              <w:t>uida</w:t>
            </w:r>
            <w:r w:rsidR="001E07BC" w:rsidRPr="001E07BC">
              <w:rPr>
                <w:rFonts w:cs="Arial"/>
                <w:i/>
                <w:iCs/>
                <w:sz w:val="18"/>
                <w:szCs w:val="18"/>
              </w:rPr>
              <w:t xml:space="preserve"> per il livellamento delle spiagge</w:t>
            </w:r>
            <w:r w:rsidR="007B7BEB">
              <w:rPr>
                <w:rFonts w:cs="Arial"/>
                <w:sz w:val="18"/>
                <w:szCs w:val="18"/>
              </w:rPr>
              <w:t xml:space="preserve"> approvate dai Comuni e dal Parco</w:t>
            </w:r>
            <w:r w:rsidR="005256A7">
              <w:rPr>
                <w:rFonts w:cs="Arial"/>
                <w:i/>
                <w:iCs/>
                <w:sz w:val="18"/>
                <w:szCs w:val="18"/>
              </w:rPr>
              <w:t>.</w:t>
            </w:r>
          </w:p>
        </w:tc>
      </w:tr>
      <w:tr w:rsidR="002C2192" w:rsidRPr="006629FD" w14:paraId="3B92679F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91BC42" w14:textId="77777777" w:rsidR="002C2192" w:rsidRPr="006629FD" w:rsidRDefault="002C2192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F01CEC" w14:textId="027891AE" w:rsidR="002C2192" w:rsidRPr="006629FD" w:rsidRDefault="00715315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Miglioramento/mantenimento del grado di conservazione degli habitat e delle specie target</w:t>
            </w:r>
          </w:p>
        </w:tc>
      </w:tr>
      <w:tr w:rsidR="002C2192" w:rsidRPr="006629FD" w14:paraId="0615F080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9E0916" w14:textId="77777777" w:rsidR="002C2192" w:rsidRPr="006629FD" w:rsidRDefault="002C2192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CF9864" w14:textId="337F0F3E" w:rsidR="002C2192" w:rsidRPr="006629FD" w:rsidRDefault="009D13C9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Stabilimenti balneari</w:t>
            </w:r>
            <w:r w:rsidR="007B7BEB">
              <w:rPr>
                <w:rFonts w:cs="Arial"/>
                <w:sz w:val="18"/>
                <w:szCs w:val="18"/>
              </w:rPr>
              <w:t xml:space="preserve"> e Comuni per le spiagge libere</w:t>
            </w:r>
          </w:p>
        </w:tc>
      </w:tr>
      <w:tr w:rsidR="002C2192" w:rsidRPr="006629FD" w14:paraId="6BBB1D47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A1C06AF" w14:textId="77777777" w:rsidR="002C2192" w:rsidRPr="006629FD" w:rsidRDefault="002C2192" w:rsidP="009372DC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03927DD" w14:textId="257DB91C" w:rsidR="002C2192" w:rsidRPr="006629FD" w:rsidRDefault="002C2192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sz w:val="18"/>
                <w:szCs w:val="18"/>
              </w:rPr>
              <w:t xml:space="preserve">Ente gestore – Carabinieri </w:t>
            </w:r>
            <w:r w:rsidR="007B7BEB">
              <w:rPr>
                <w:rFonts w:cs="Arial"/>
                <w:sz w:val="18"/>
                <w:szCs w:val="18"/>
              </w:rPr>
              <w:t>F</w:t>
            </w:r>
            <w:r w:rsidR="007B7BEB" w:rsidRPr="006629FD">
              <w:rPr>
                <w:rFonts w:cs="Arial"/>
                <w:sz w:val="18"/>
                <w:szCs w:val="18"/>
              </w:rPr>
              <w:t>orestal</w:t>
            </w:r>
            <w:r w:rsidR="007B7BEB">
              <w:rPr>
                <w:rFonts w:cs="Arial"/>
                <w:sz w:val="18"/>
                <w:szCs w:val="18"/>
              </w:rPr>
              <w:t>e</w:t>
            </w:r>
          </w:p>
        </w:tc>
      </w:tr>
      <w:tr w:rsidR="002C2192" w:rsidRPr="006629FD" w14:paraId="16657B6A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45F1E63" w14:textId="77777777" w:rsidR="002C2192" w:rsidRPr="000C6159" w:rsidRDefault="002C2192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0C6159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01D7D87" w14:textId="740610F2" w:rsidR="002C2192" w:rsidRPr="000C6159" w:rsidRDefault="000C6159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Alta</w:t>
            </w:r>
          </w:p>
        </w:tc>
      </w:tr>
      <w:tr w:rsidR="002C2192" w:rsidRPr="006629FD" w14:paraId="7CF0EA52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3C3D0A" w14:textId="77777777" w:rsidR="002C2192" w:rsidRPr="006629FD" w:rsidRDefault="002C2192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FE96ED" w14:textId="284CDC05" w:rsidR="002C2192" w:rsidRPr="006629FD" w:rsidRDefault="00CD55FE" w:rsidP="009372DC">
            <w:pPr>
              <w:tabs>
                <w:tab w:val="left" w:pos="541"/>
              </w:tabs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Vigente</w:t>
            </w:r>
            <w:r w:rsidR="002C2192" w:rsidRPr="006629FD">
              <w:rPr>
                <w:rFonts w:cs="Arial"/>
                <w:sz w:val="18"/>
                <w:szCs w:val="18"/>
              </w:rPr>
              <w:t xml:space="preserve"> all’approvazione del Piano di Gestione</w:t>
            </w:r>
          </w:p>
        </w:tc>
      </w:tr>
      <w:tr w:rsidR="002C2192" w:rsidRPr="006629FD" w14:paraId="610A77FA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15A3F1B" w14:textId="77777777" w:rsidR="002C2192" w:rsidRPr="006629FD" w:rsidRDefault="002C2192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33B744" w14:textId="77777777" w:rsidR="002C2192" w:rsidRPr="006629FD" w:rsidRDefault="002C2192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2C2192" w:rsidRPr="006629FD" w14:paraId="3452BA9E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9A9AE93" w14:textId="77777777" w:rsidR="002C2192" w:rsidRPr="006629FD" w:rsidRDefault="002C2192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D9B27CD" w14:textId="24C88E20" w:rsidR="002C2192" w:rsidRPr="00A34EDC" w:rsidRDefault="001E07BC" w:rsidP="007B7BEB">
            <w:pPr>
              <w:spacing w:after="0" w:line="240" w:lineRule="auto"/>
              <w:ind w:firstLine="0"/>
              <w:rPr>
                <w:rFonts w:cs="Arial"/>
                <w:i/>
                <w:iCs/>
                <w:sz w:val="18"/>
                <w:szCs w:val="18"/>
              </w:rPr>
            </w:pPr>
            <w:r w:rsidRPr="001E07BC">
              <w:rPr>
                <w:rFonts w:cs="Arial"/>
                <w:i/>
                <w:iCs/>
                <w:sz w:val="18"/>
                <w:szCs w:val="18"/>
              </w:rPr>
              <w:t>Ente Parco Regionale del Conero Prot.0002626-03/07/2018- Linee Guida per il livellamento delle spiagge aperte alla balneazione e per la pulizia degli arenili in Località Baia di Portonovo del Comune di Ancona al fine di garantirne la fruizione in sicurezza</w:t>
            </w:r>
            <w:r w:rsidR="007B7BEB">
              <w:rPr>
                <w:rFonts w:cs="Arial"/>
                <w:i/>
                <w:iCs/>
                <w:sz w:val="18"/>
                <w:szCs w:val="18"/>
              </w:rPr>
              <w:t xml:space="preserve"> e </w:t>
            </w:r>
            <w:r w:rsidR="007B7BEB" w:rsidRPr="007B7BEB">
              <w:rPr>
                <w:rFonts w:cs="Arial"/>
                <w:i/>
                <w:iCs/>
                <w:sz w:val="18"/>
                <w:szCs w:val="18"/>
              </w:rPr>
              <w:t>Linee Guida</w:t>
            </w:r>
            <w:r w:rsidR="007B7BEB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7B7BEB" w:rsidRPr="007B7BEB">
              <w:rPr>
                <w:rFonts w:cs="Arial"/>
                <w:i/>
                <w:iCs/>
                <w:sz w:val="18"/>
                <w:szCs w:val="18"/>
              </w:rPr>
              <w:t>per il livellamento delle spiagge aperte alla balneazione e per la pulizia degli arenili Spiaggia S. Michele e Spiaggia Urbani del Comune di Sirolo al fine di garantire la fruizione in sicurezza</w:t>
            </w:r>
          </w:p>
        </w:tc>
      </w:tr>
    </w:tbl>
    <w:p w14:paraId="615770C4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4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1A9"/>
    <w:rsid w:val="000C6159"/>
    <w:rsid w:val="001E07BC"/>
    <w:rsid w:val="00247DBC"/>
    <w:rsid w:val="002764C6"/>
    <w:rsid w:val="002958DA"/>
    <w:rsid w:val="002C2192"/>
    <w:rsid w:val="003C61A9"/>
    <w:rsid w:val="004B0BFF"/>
    <w:rsid w:val="005256A7"/>
    <w:rsid w:val="00604958"/>
    <w:rsid w:val="00715315"/>
    <w:rsid w:val="00726991"/>
    <w:rsid w:val="007B7BEB"/>
    <w:rsid w:val="009D13C9"/>
    <w:rsid w:val="00A34EDC"/>
    <w:rsid w:val="00A47DFC"/>
    <w:rsid w:val="00B16EF6"/>
    <w:rsid w:val="00CD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AA0FB"/>
  <w15:chartTrackingRefBased/>
  <w15:docId w15:val="{26A04925-CB5B-471D-86A0-B5B99746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2192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C61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C61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C61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C61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C61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C61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C61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C61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C61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C61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C61A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C61A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C61A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C61A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C61A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C61A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C61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C6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C61A9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C61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C61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C61A9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3C61A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C61A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C61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C61A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C61A9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2C2192"/>
  </w:style>
  <w:style w:type="paragraph" w:styleId="Revisione">
    <w:name w:val="Revision"/>
    <w:hidden/>
    <w:uiPriority w:val="99"/>
    <w:semiHidden/>
    <w:rsid w:val="004B0BFF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13</cp:revision>
  <dcterms:created xsi:type="dcterms:W3CDTF">2024-03-15T10:31:00Z</dcterms:created>
  <dcterms:modified xsi:type="dcterms:W3CDTF">2024-07-25T13:46:00Z</dcterms:modified>
</cp:coreProperties>
</file>